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0" w:right="7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9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Report Period: Oct 26 - Nov 8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200"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Summary of Progress in this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0" w:right="144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Finished class assignments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Split into 2 teams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Initial design complete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Split up images and labeled data for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microphage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up identification network for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microphage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Participated in a Design Document meeting with Shannon.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Found/created needed solidworks models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Pending Issues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Waiting on data sets from TA/grad helper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Issues with portable magnification strength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Building the hardware by using SolidWorks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72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Plans for Upcoming Reporting Period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153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Get training, validation, and testing data set videos and annotate using imagej once we have images ready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153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Hardware Team to meet and put together individual components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ind w:right="72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Anirudh Tangellapalli, Owen Schacherer, Iris Top, Declan Costello, Wenjie Jin, Shijin Huang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